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86" w:rsidRPr="004E1553" w:rsidRDefault="00360F86" w:rsidP="00360F86">
      <w:pPr>
        <w:jc w:val="both"/>
        <w:rPr>
          <w:b/>
        </w:rPr>
      </w:pPr>
      <w:r w:rsidRPr="004E1553">
        <w:rPr>
          <w:noProof/>
        </w:rPr>
        <w:drawing>
          <wp:anchor distT="0" distB="0" distL="114300" distR="114300" simplePos="0" relativeHeight="251659264" behindDoc="1" locked="0" layoutInCell="1" allowOverlap="1" wp14:anchorId="1525F511" wp14:editId="6C373DF4">
            <wp:simplePos x="0" y="0"/>
            <wp:positionH relativeFrom="column">
              <wp:posOffset>180340</wp:posOffset>
            </wp:positionH>
            <wp:positionV relativeFrom="paragraph">
              <wp:posOffset>18415</wp:posOffset>
            </wp:positionV>
            <wp:extent cx="661035" cy="991235"/>
            <wp:effectExtent l="0" t="0" r="5715" b="0"/>
            <wp:wrapTight wrapText="bothSides">
              <wp:wrapPolygon edited="0">
                <wp:start x="0" y="0"/>
                <wp:lineTo x="0" y="21171"/>
                <wp:lineTo x="21164" y="21171"/>
                <wp:lineTo x="21164" y="0"/>
                <wp:lineTo x="0" y="0"/>
              </wp:wrapPolygon>
            </wp:wrapTight>
            <wp:docPr id="1" name="Obrázek 1" descr="SOVA_c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VA_cer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553">
        <w:rPr>
          <w:noProof/>
        </w:rPr>
        <w:t xml:space="preserve">                               </w:t>
      </w:r>
    </w:p>
    <w:p w:rsidR="00360F86" w:rsidRPr="004E1553" w:rsidRDefault="00360F86" w:rsidP="00360F86">
      <w:pPr>
        <w:jc w:val="center"/>
        <w:rPr>
          <w:b/>
        </w:rPr>
      </w:pPr>
      <w:r w:rsidRPr="004E1553">
        <w:rPr>
          <w:b/>
        </w:rPr>
        <w:t>Základní škola Uhlířské Janovice, okres Kutná Hora</w:t>
      </w:r>
    </w:p>
    <w:p w:rsidR="00360F86" w:rsidRPr="004E1553" w:rsidRDefault="00360F86" w:rsidP="00360F86">
      <w:pPr>
        <w:pBdr>
          <w:bottom w:val="single" w:sz="4" w:space="1" w:color="auto"/>
        </w:pBdr>
        <w:jc w:val="center"/>
        <w:rPr>
          <w:bCs/>
        </w:rPr>
      </w:pPr>
      <w:r w:rsidRPr="004E1553">
        <w:t xml:space="preserve">Třebízského 268, 285 04 Uhlířské Janovice, </w:t>
      </w:r>
      <w:r w:rsidRPr="004E1553">
        <w:rPr>
          <w:bCs/>
        </w:rPr>
        <w:t>IČO 75 032 911, IZO 102 226</w:t>
      </w:r>
      <w:r>
        <w:rPr>
          <w:bCs/>
        </w:rPr>
        <w:t> </w:t>
      </w:r>
      <w:r w:rsidRPr="004E1553">
        <w:rPr>
          <w:bCs/>
        </w:rPr>
        <w:t>776</w:t>
      </w:r>
    </w:p>
    <w:p w:rsidR="00360F86" w:rsidRPr="004E1553" w:rsidRDefault="00360F86" w:rsidP="00360F86">
      <w:pPr>
        <w:pBdr>
          <w:bottom w:val="single" w:sz="4" w:space="1" w:color="auto"/>
        </w:pBdr>
        <w:jc w:val="center"/>
        <w:rPr>
          <w:bCs/>
        </w:rPr>
      </w:pPr>
      <w:r w:rsidRPr="004E1553">
        <w:rPr>
          <w:bCs/>
        </w:rPr>
        <w:t xml:space="preserve">tel: 327 300 000, fax: 327 300 002, e-mail: </w:t>
      </w:r>
      <w:hyperlink r:id="rId9" w:history="1">
        <w:r w:rsidRPr="004E1553">
          <w:rPr>
            <w:rStyle w:val="Hypertextovodkaz"/>
            <w:bCs/>
          </w:rPr>
          <w:t>zs@zsuj.cz</w:t>
        </w:r>
      </w:hyperlink>
      <w:r w:rsidRPr="004E1553">
        <w:rPr>
          <w:bCs/>
        </w:rPr>
        <w:t>, www.zsuj.cz</w:t>
      </w:r>
    </w:p>
    <w:p w:rsidR="00360F86" w:rsidRDefault="00360F86" w:rsidP="00360F86">
      <w:pPr>
        <w:jc w:val="both"/>
        <w:rPr>
          <w:b/>
        </w:rPr>
      </w:pPr>
    </w:p>
    <w:p w:rsidR="00360F86" w:rsidRDefault="00360F86" w:rsidP="00360F86">
      <w:pPr>
        <w:jc w:val="both"/>
        <w:rPr>
          <w:b/>
        </w:rPr>
      </w:pPr>
    </w:p>
    <w:p w:rsidR="00360F86" w:rsidRDefault="00360F86" w:rsidP="00360F86">
      <w:pPr>
        <w:spacing w:line="360" w:lineRule="auto"/>
        <w:jc w:val="both"/>
        <w:rPr>
          <w:b/>
        </w:rPr>
      </w:pPr>
    </w:p>
    <w:p w:rsidR="00360F86" w:rsidRDefault="00360F86" w:rsidP="00360F86">
      <w:pPr>
        <w:rPr>
          <w:b/>
          <w:sz w:val="28"/>
          <w:szCs w:val="28"/>
        </w:rPr>
      </w:pPr>
      <w:r w:rsidRPr="006E424A">
        <w:rPr>
          <w:b/>
          <w:sz w:val="28"/>
          <w:szCs w:val="28"/>
        </w:rPr>
        <w:t xml:space="preserve">Zpráva </w:t>
      </w:r>
      <w:r>
        <w:rPr>
          <w:b/>
          <w:sz w:val="28"/>
          <w:szCs w:val="28"/>
        </w:rPr>
        <w:t>výchovného p</w:t>
      </w:r>
      <w:r w:rsidR="0059084F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radce </w:t>
      </w:r>
      <w:r w:rsidRPr="006E424A">
        <w:rPr>
          <w:b/>
          <w:sz w:val="28"/>
          <w:szCs w:val="28"/>
        </w:rPr>
        <w:t>za šk</w:t>
      </w:r>
      <w:r w:rsidR="0059084F">
        <w:rPr>
          <w:b/>
          <w:sz w:val="28"/>
          <w:szCs w:val="28"/>
        </w:rPr>
        <w:t>olní rok 2014/</w:t>
      </w:r>
      <w:r w:rsidR="00BE1EBC">
        <w:rPr>
          <w:b/>
          <w:sz w:val="28"/>
          <w:szCs w:val="28"/>
        </w:rPr>
        <w:t>20</w:t>
      </w:r>
      <w:r w:rsidR="0059084F">
        <w:rPr>
          <w:b/>
          <w:sz w:val="28"/>
          <w:szCs w:val="28"/>
        </w:rPr>
        <w:t>15</w:t>
      </w:r>
    </w:p>
    <w:p w:rsidR="00360F86" w:rsidRPr="006E424A" w:rsidRDefault="00360F86" w:rsidP="00360F86">
      <w:pPr>
        <w:rPr>
          <w:b/>
          <w:sz w:val="28"/>
          <w:szCs w:val="28"/>
        </w:rPr>
      </w:pPr>
    </w:p>
    <w:p w:rsidR="00360F86" w:rsidRPr="00AC1E43" w:rsidRDefault="00360F86" w:rsidP="00360F86">
      <w:pPr>
        <w:spacing w:line="360" w:lineRule="auto"/>
        <w:jc w:val="both"/>
        <w:rPr>
          <w:b/>
        </w:rPr>
      </w:pPr>
      <w:r w:rsidRPr="00AC1E43">
        <w:rPr>
          <w:b/>
        </w:rPr>
        <w:t>Kariérové poradenství</w:t>
      </w:r>
    </w:p>
    <w:p w:rsidR="0059084F" w:rsidRDefault="00360F86" w:rsidP="00360F86">
      <w:pPr>
        <w:spacing w:line="360" w:lineRule="auto"/>
        <w:jc w:val="both"/>
      </w:pPr>
      <w:r>
        <w:t>Výuka tematického okruhu Svět práce -  Volba povolání probíhá v souladu s RVP ZV v sedmém, osmém a devátém ročníku ve vzdě</w:t>
      </w:r>
      <w:r w:rsidR="0059084F">
        <w:t xml:space="preserve">lávacím oboru Pracovní výchova. Některá témata jsou součástí vzdělávacích obsahů jiných předmětů, například Občanské výchovy v 8. a 9. ročníku. Některá </w:t>
      </w:r>
      <w:r>
        <w:t xml:space="preserve">prolínají </w:t>
      </w:r>
      <w:r w:rsidR="0059084F">
        <w:t xml:space="preserve">okrajově </w:t>
      </w:r>
      <w:r>
        <w:t xml:space="preserve">i ostatními vzdělávacími obory na 1. i 2. stupni ZŠ. </w:t>
      </w:r>
      <w:r w:rsidR="0059084F">
        <w:t>Realizované akce:</w:t>
      </w:r>
    </w:p>
    <w:p w:rsidR="0059084F" w:rsidRDefault="0059084F" w:rsidP="00360F86">
      <w:pPr>
        <w:spacing w:line="360" w:lineRule="auto"/>
        <w:jc w:val="both"/>
      </w:pPr>
      <w:r>
        <w:t>Beseda v Informačním a poradenském středisku Úřadu práce v Kutné Hoře – 8. ročníky</w:t>
      </w:r>
    </w:p>
    <w:p w:rsidR="0059084F" w:rsidRDefault="0059084F" w:rsidP="00360F86">
      <w:pPr>
        <w:spacing w:line="360" w:lineRule="auto"/>
        <w:jc w:val="both"/>
      </w:pPr>
      <w:r>
        <w:t>Účast na burzách škol a dnech otevřených dveří – 9. ročníky</w:t>
      </w:r>
    </w:p>
    <w:p w:rsidR="0059084F" w:rsidRDefault="0059084F" w:rsidP="00360F86">
      <w:pPr>
        <w:spacing w:line="360" w:lineRule="auto"/>
        <w:jc w:val="both"/>
      </w:pPr>
      <w:r>
        <w:t>Jeden den středoškolákem (Střední průmyslová škola Čáslav) – 9. ročníky</w:t>
      </w:r>
    </w:p>
    <w:p w:rsidR="0059084F" w:rsidRDefault="0059084F" w:rsidP="00360F86">
      <w:pPr>
        <w:spacing w:line="360" w:lineRule="auto"/>
        <w:jc w:val="both"/>
      </w:pPr>
      <w:r>
        <w:t>Den otevřených dveří (SOŠ a SOU řemesel Kutná Hora) – 9. a 8. ročníky</w:t>
      </w:r>
    </w:p>
    <w:p w:rsidR="0059084F" w:rsidRDefault="0059084F" w:rsidP="00360F86">
      <w:pPr>
        <w:spacing w:line="360" w:lineRule="auto"/>
        <w:jc w:val="both"/>
      </w:pPr>
      <w:r>
        <w:t>Celodenní projekt Volba povolání – 9. ročníky</w:t>
      </w:r>
    </w:p>
    <w:p w:rsidR="0059084F" w:rsidRDefault="0059084F" w:rsidP="00360F86">
      <w:pPr>
        <w:spacing w:line="360" w:lineRule="auto"/>
        <w:jc w:val="both"/>
      </w:pPr>
      <w:r>
        <w:t>Schůzka s rodiči žáků 9. ročníků – aktuální informace o přijímacím řízení a jeho podmínkách</w:t>
      </w:r>
    </w:p>
    <w:p w:rsidR="0059084F" w:rsidRDefault="0059084F" w:rsidP="00360F86">
      <w:pPr>
        <w:spacing w:line="360" w:lineRule="auto"/>
        <w:jc w:val="both"/>
      </w:pPr>
      <w:r>
        <w:t>Individuální konzultace se žáky a jejich rodiči – volba další vzdělávací dráhy, vhodnost výběru typu školy, náročnost jednotlivých typů škol ad.</w:t>
      </w:r>
    </w:p>
    <w:p w:rsidR="00360F86" w:rsidRDefault="00360F86" w:rsidP="00360F86">
      <w:pPr>
        <w:spacing w:line="360" w:lineRule="auto"/>
        <w:jc w:val="both"/>
      </w:pPr>
      <w:r>
        <w:t>V tomto školním roce byli všichni žáci přijati ke studiu v prvním kole přijímacího řízení.</w:t>
      </w:r>
      <w:r w:rsidR="0059084F">
        <w:t xml:space="preserve"> Jedna žákyně byla přijata na odvolání.</w:t>
      </w:r>
      <w:r>
        <w:t xml:space="preserve"> Většina žáků zvolila vzdělávání na střední odborné škole, studijní obory s maturitou. Z osmého ročníku </w:t>
      </w:r>
      <w:r w:rsidR="0059084F">
        <w:t>neodešel žádný žák, dvěma žákyním bylo povoleno dokončit základní vzdělávání absolvováním 9. ročníku.</w:t>
      </w:r>
    </w:p>
    <w:p w:rsidR="00360F86" w:rsidRDefault="00360F86" w:rsidP="00360F86">
      <w:pPr>
        <w:spacing w:line="360" w:lineRule="auto"/>
        <w:jc w:val="both"/>
      </w:pPr>
      <w:r>
        <w:t xml:space="preserve">Učební obor (výuční list) – </w:t>
      </w:r>
      <w:r w:rsidR="0059084F">
        <w:t>13</w:t>
      </w:r>
    </w:p>
    <w:p w:rsidR="00360F86" w:rsidRDefault="00360F86" w:rsidP="00360F86">
      <w:pPr>
        <w:spacing w:line="360" w:lineRule="auto"/>
        <w:jc w:val="both"/>
      </w:pPr>
      <w:r>
        <w:t xml:space="preserve">Učební obor (maturita) – </w:t>
      </w:r>
      <w:r w:rsidR="0059084F">
        <w:t>4</w:t>
      </w:r>
    </w:p>
    <w:p w:rsidR="00360F86" w:rsidRDefault="00360F86" w:rsidP="00360F86">
      <w:pPr>
        <w:spacing w:line="360" w:lineRule="auto"/>
        <w:jc w:val="both"/>
      </w:pPr>
      <w:r>
        <w:t xml:space="preserve">Střední odborná škola – </w:t>
      </w:r>
      <w:r w:rsidR="0059084F">
        <w:t>22</w:t>
      </w:r>
    </w:p>
    <w:p w:rsidR="00360F86" w:rsidRDefault="00360F86" w:rsidP="00360F86">
      <w:pPr>
        <w:spacing w:line="360" w:lineRule="auto"/>
        <w:jc w:val="both"/>
      </w:pPr>
      <w:r>
        <w:t xml:space="preserve">Gymnázium - </w:t>
      </w:r>
      <w:r w:rsidR="0059084F"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076"/>
        <w:gridCol w:w="1887"/>
        <w:gridCol w:w="1822"/>
        <w:gridCol w:w="1759"/>
        <w:gridCol w:w="1706"/>
      </w:tblGrid>
      <w:tr w:rsidR="00BE1EBC" w:rsidRPr="00A22115" w:rsidTr="002014F9">
        <w:tc>
          <w:tcPr>
            <w:tcW w:w="1038" w:type="dxa"/>
            <w:shd w:val="clear" w:color="auto" w:fill="FABF8F" w:themeFill="accent6" w:themeFillTint="99"/>
            <w:vAlign w:val="center"/>
          </w:tcPr>
          <w:p w:rsidR="00BE1EBC" w:rsidRPr="00A22115" w:rsidRDefault="00BE1EBC" w:rsidP="0007153C">
            <w:pPr>
              <w:jc w:val="both"/>
              <w:rPr>
                <w:b/>
                <w:color w:val="000000"/>
              </w:rPr>
            </w:pPr>
            <w:bookmarkStart w:id="0" w:name="_GoBack"/>
            <w:r w:rsidRPr="00A22115">
              <w:rPr>
                <w:b/>
                <w:color w:val="000000"/>
              </w:rPr>
              <w:t>třída</w:t>
            </w:r>
          </w:p>
        </w:tc>
        <w:tc>
          <w:tcPr>
            <w:tcW w:w="1076" w:type="dxa"/>
            <w:shd w:val="clear" w:color="auto" w:fill="FABF8F" w:themeFill="accent6" w:themeFillTint="99"/>
            <w:vAlign w:val="center"/>
          </w:tcPr>
          <w:p w:rsidR="00BE1EBC" w:rsidRPr="00A22115" w:rsidRDefault="00BE1EBC" w:rsidP="0007153C">
            <w:pPr>
              <w:jc w:val="both"/>
              <w:rPr>
                <w:b/>
                <w:color w:val="000000"/>
              </w:rPr>
            </w:pPr>
            <w:r w:rsidRPr="00A22115">
              <w:rPr>
                <w:b/>
                <w:color w:val="000000"/>
              </w:rPr>
              <w:t>Počet žáků</w:t>
            </w:r>
          </w:p>
        </w:tc>
        <w:tc>
          <w:tcPr>
            <w:tcW w:w="1887" w:type="dxa"/>
            <w:shd w:val="clear" w:color="auto" w:fill="FABF8F" w:themeFill="accent6" w:themeFillTint="99"/>
            <w:vAlign w:val="center"/>
          </w:tcPr>
          <w:p w:rsidR="00BE1EBC" w:rsidRDefault="00BE1EBC" w:rsidP="000715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</w:t>
            </w:r>
          </w:p>
          <w:p w:rsidR="00BE1EBC" w:rsidRPr="00A22115" w:rsidRDefault="00BE1EBC" w:rsidP="0007153C">
            <w:pPr>
              <w:jc w:val="both"/>
              <w:rPr>
                <w:b/>
                <w:color w:val="000000"/>
              </w:rPr>
            </w:pPr>
            <w:proofErr w:type="spellStart"/>
            <w:r w:rsidRPr="00A22115">
              <w:rPr>
                <w:b/>
                <w:color w:val="000000"/>
              </w:rPr>
              <w:t>Gymnazium</w:t>
            </w:r>
            <w:proofErr w:type="spellEnd"/>
          </w:p>
        </w:tc>
        <w:tc>
          <w:tcPr>
            <w:tcW w:w="1822" w:type="dxa"/>
            <w:shd w:val="clear" w:color="auto" w:fill="FABF8F" w:themeFill="accent6" w:themeFillTint="99"/>
            <w:vAlign w:val="center"/>
          </w:tcPr>
          <w:p w:rsidR="00BE1EBC" w:rsidRDefault="00BE1EBC" w:rsidP="000715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</w:t>
            </w:r>
          </w:p>
          <w:p w:rsidR="00BE1EBC" w:rsidRPr="00A22115" w:rsidRDefault="00BE1EBC" w:rsidP="0007153C">
            <w:pPr>
              <w:jc w:val="both"/>
              <w:rPr>
                <w:b/>
                <w:color w:val="000000"/>
              </w:rPr>
            </w:pPr>
            <w:r w:rsidRPr="00A22115">
              <w:rPr>
                <w:b/>
                <w:color w:val="000000"/>
              </w:rPr>
              <w:t>maturitní obor</w:t>
            </w:r>
          </w:p>
        </w:tc>
        <w:tc>
          <w:tcPr>
            <w:tcW w:w="1759" w:type="dxa"/>
            <w:shd w:val="clear" w:color="auto" w:fill="FABF8F" w:themeFill="accent6" w:themeFillTint="99"/>
            <w:vAlign w:val="center"/>
          </w:tcPr>
          <w:p w:rsidR="00BE1EBC" w:rsidRDefault="00BE1EBC" w:rsidP="0007153C">
            <w:pPr>
              <w:jc w:val="both"/>
              <w:rPr>
                <w:b/>
                <w:color w:val="000000"/>
              </w:rPr>
            </w:pPr>
            <w:r w:rsidRPr="00A22115">
              <w:rPr>
                <w:b/>
                <w:color w:val="000000"/>
              </w:rPr>
              <w:t>H</w:t>
            </w:r>
          </w:p>
          <w:p w:rsidR="00BE1EBC" w:rsidRPr="00A22115" w:rsidRDefault="00BE1EBC" w:rsidP="000715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učební obor</w:t>
            </w:r>
          </w:p>
        </w:tc>
        <w:tc>
          <w:tcPr>
            <w:tcW w:w="1706" w:type="dxa"/>
            <w:shd w:val="clear" w:color="auto" w:fill="FABF8F" w:themeFill="accent6" w:themeFillTint="99"/>
            <w:vAlign w:val="center"/>
          </w:tcPr>
          <w:p w:rsidR="00BE1EBC" w:rsidRDefault="00BE1EBC" w:rsidP="000715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  <w:p w:rsidR="00BE1EBC" w:rsidRPr="00A22115" w:rsidRDefault="00BE1EBC" w:rsidP="000715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učební obor s maturitou</w:t>
            </w:r>
          </w:p>
        </w:tc>
      </w:tr>
      <w:tr w:rsidR="00BE1EBC" w:rsidRPr="00974FA2" w:rsidTr="0007153C">
        <w:tc>
          <w:tcPr>
            <w:tcW w:w="1038" w:type="dxa"/>
            <w:shd w:val="clear" w:color="auto" w:fill="auto"/>
            <w:vAlign w:val="center"/>
          </w:tcPr>
          <w:p w:rsidR="00BE1EBC" w:rsidRPr="00F87ECE" w:rsidRDefault="00BE1EBC" w:rsidP="0007153C">
            <w:pPr>
              <w:pStyle w:val="A-nadpis"/>
              <w:numPr>
                <w:ilvl w:val="0"/>
                <w:numId w:val="0"/>
              </w:numPr>
              <w:shd w:val="clear" w:color="auto" w:fill="FFFFFF"/>
              <w:rPr>
                <w:b w:val="0"/>
                <w:sz w:val="24"/>
                <w:szCs w:val="24"/>
                <w:lang w:val="cs-CZ" w:eastAsia="cs-CZ"/>
              </w:rPr>
            </w:pPr>
            <w:bookmarkStart w:id="1" w:name="_Toc395614088"/>
            <w:bookmarkEnd w:id="0"/>
            <w:r w:rsidRPr="00F87ECE">
              <w:rPr>
                <w:b w:val="0"/>
                <w:sz w:val="24"/>
                <w:szCs w:val="24"/>
                <w:lang w:val="cs-CZ" w:eastAsia="cs-CZ"/>
              </w:rPr>
              <w:t>IX. A</w:t>
            </w:r>
            <w:bookmarkEnd w:id="1"/>
          </w:p>
        </w:tc>
        <w:tc>
          <w:tcPr>
            <w:tcW w:w="1076" w:type="dxa"/>
            <w:shd w:val="clear" w:color="auto" w:fill="auto"/>
            <w:vAlign w:val="center"/>
          </w:tcPr>
          <w:p w:rsidR="00BE1EBC" w:rsidRPr="00F87ECE" w:rsidRDefault="00BE1EBC" w:rsidP="0007153C">
            <w:pPr>
              <w:pStyle w:val="A-nadpis"/>
              <w:numPr>
                <w:ilvl w:val="0"/>
                <w:numId w:val="0"/>
              </w:numPr>
              <w:shd w:val="clear" w:color="auto" w:fill="FFFFFF"/>
              <w:rPr>
                <w:b w:val="0"/>
                <w:sz w:val="24"/>
                <w:szCs w:val="24"/>
                <w:lang w:val="cs-CZ" w:eastAsia="cs-CZ"/>
              </w:rPr>
            </w:pPr>
            <w:r>
              <w:rPr>
                <w:b w:val="0"/>
                <w:sz w:val="24"/>
                <w:szCs w:val="24"/>
                <w:lang w:val="cs-CZ" w:eastAsia="cs-CZ"/>
              </w:rPr>
              <w:t>24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BE1EBC" w:rsidRPr="00F87ECE" w:rsidRDefault="00BE1EBC" w:rsidP="0007153C">
            <w:pPr>
              <w:pStyle w:val="A-nadpis"/>
              <w:numPr>
                <w:ilvl w:val="0"/>
                <w:numId w:val="0"/>
              </w:numPr>
              <w:shd w:val="clear" w:color="auto" w:fill="FFFFFF"/>
              <w:rPr>
                <w:b w:val="0"/>
                <w:sz w:val="24"/>
                <w:szCs w:val="24"/>
                <w:lang w:val="cs-CZ" w:eastAsia="cs-CZ"/>
              </w:rPr>
            </w:pPr>
            <w:r>
              <w:rPr>
                <w:b w:val="0"/>
                <w:sz w:val="24"/>
                <w:szCs w:val="24"/>
                <w:lang w:val="cs-CZ" w:eastAsia="cs-CZ"/>
              </w:rPr>
              <w:t>5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BE1EBC" w:rsidRPr="00F87ECE" w:rsidRDefault="00BE1EBC" w:rsidP="0007153C">
            <w:pPr>
              <w:pStyle w:val="A-nadpis"/>
              <w:numPr>
                <w:ilvl w:val="0"/>
                <w:numId w:val="0"/>
              </w:numPr>
              <w:shd w:val="clear" w:color="auto" w:fill="FFFFFF"/>
              <w:rPr>
                <w:b w:val="0"/>
                <w:sz w:val="24"/>
                <w:szCs w:val="24"/>
                <w:lang w:val="cs-CZ" w:eastAsia="cs-CZ"/>
              </w:rPr>
            </w:pPr>
            <w:r>
              <w:rPr>
                <w:b w:val="0"/>
                <w:sz w:val="24"/>
                <w:szCs w:val="24"/>
                <w:lang w:val="cs-CZ" w:eastAsia="cs-CZ"/>
              </w:rPr>
              <w:t>11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BE1EBC" w:rsidRPr="00F87ECE" w:rsidRDefault="00BE1EBC" w:rsidP="0007153C">
            <w:pPr>
              <w:pStyle w:val="A-nadpis"/>
              <w:numPr>
                <w:ilvl w:val="0"/>
                <w:numId w:val="0"/>
              </w:numPr>
              <w:shd w:val="clear" w:color="auto" w:fill="FFFFFF"/>
              <w:rPr>
                <w:b w:val="0"/>
                <w:sz w:val="24"/>
                <w:szCs w:val="24"/>
                <w:lang w:val="cs-CZ" w:eastAsia="cs-CZ"/>
              </w:rPr>
            </w:pPr>
            <w:r>
              <w:rPr>
                <w:b w:val="0"/>
                <w:sz w:val="24"/>
                <w:szCs w:val="24"/>
                <w:lang w:val="cs-CZ" w:eastAsia="cs-CZ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BE1EBC" w:rsidRPr="00F87ECE" w:rsidRDefault="00BE1EBC" w:rsidP="0007153C">
            <w:pPr>
              <w:pStyle w:val="A-nadpis"/>
              <w:numPr>
                <w:ilvl w:val="0"/>
                <w:numId w:val="0"/>
              </w:numPr>
              <w:shd w:val="clear" w:color="auto" w:fill="FFFFFF"/>
              <w:rPr>
                <w:b w:val="0"/>
                <w:sz w:val="24"/>
                <w:szCs w:val="24"/>
                <w:lang w:val="cs-CZ" w:eastAsia="cs-CZ"/>
              </w:rPr>
            </w:pPr>
            <w:r>
              <w:rPr>
                <w:b w:val="0"/>
                <w:sz w:val="24"/>
                <w:szCs w:val="24"/>
                <w:lang w:val="cs-CZ" w:eastAsia="cs-CZ"/>
              </w:rPr>
              <w:t>2</w:t>
            </w:r>
          </w:p>
        </w:tc>
      </w:tr>
      <w:tr w:rsidR="00BE1EBC" w:rsidRPr="00974FA2" w:rsidTr="0007153C">
        <w:tc>
          <w:tcPr>
            <w:tcW w:w="1038" w:type="dxa"/>
            <w:shd w:val="clear" w:color="auto" w:fill="auto"/>
            <w:vAlign w:val="center"/>
          </w:tcPr>
          <w:p w:rsidR="00BE1EBC" w:rsidRPr="00F87ECE" w:rsidRDefault="00BE1EBC" w:rsidP="0007153C">
            <w:pPr>
              <w:pStyle w:val="A-nadpis"/>
              <w:numPr>
                <w:ilvl w:val="0"/>
                <w:numId w:val="0"/>
              </w:numPr>
              <w:shd w:val="clear" w:color="auto" w:fill="FFFFFF"/>
              <w:rPr>
                <w:b w:val="0"/>
                <w:sz w:val="24"/>
                <w:szCs w:val="24"/>
                <w:lang w:val="cs-CZ" w:eastAsia="cs-CZ"/>
              </w:rPr>
            </w:pPr>
            <w:bookmarkStart w:id="2" w:name="_Toc395614093"/>
            <w:r w:rsidRPr="00F87ECE">
              <w:rPr>
                <w:b w:val="0"/>
                <w:sz w:val="24"/>
                <w:szCs w:val="24"/>
                <w:lang w:val="cs-CZ" w:eastAsia="cs-CZ"/>
              </w:rPr>
              <w:t>IX. B</w:t>
            </w:r>
            <w:bookmarkEnd w:id="2"/>
          </w:p>
        </w:tc>
        <w:tc>
          <w:tcPr>
            <w:tcW w:w="1076" w:type="dxa"/>
            <w:shd w:val="clear" w:color="auto" w:fill="auto"/>
            <w:vAlign w:val="center"/>
          </w:tcPr>
          <w:p w:rsidR="00BE1EBC" w:rsidRPr="00F87ECE" w:rsidRDefault="00BE1EBC" w:rsidP="0007153C">
            <w:pPr>
              <w:pStyle w:val="A-nadpis"/>
              <w:numPr>
                <w:ilvl w:val="0"/>
                <w:numId w:val="0"/>
              </w:numPr>
              <w:shd w:val="clear" w:color="auto" w:fill="FFFFFF"/>
              <w:rPr>
                <w:b w:val="0"/>
                <w:sz w:val="24"/>
                <w:szCs w:val="24"/>
                <w:lang w:val="cs-CZ" w:eastAsia="cs-CZ"/>
              </w:rPr>
            </w:pPr>
            <w:r>
              <w:rPr>
                <w:b w:val="0"/>
                <w:sz w:val="24"/>
                <w:szCs w:val="24"/>
                <w:lang w:val="cs-CZ" w:eastAsia="cs-CZ"/>
              </w:rPr>
              <w:t>24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BE1EBC" w:rsidRPr="00F87ECE" w:rsidRDefault="00BE1EBC" w:rsidP="0007153C">
            <w:pPr>
              <w:pStyle w:val="A-nadpis"/>
              <w:numPr>
                <w:ilvl w:val="0"/>
                <w:numId w:val="0"/>
              </w:numPr>
              <w:shd w:val="clear" w:color="auto" w:fill="FFFFFF"/>
              <w:rPr>
                <w:b w:val="0"/>
                <w:sz w:val="24"/>
                <w:szCs w:val="24"/>
                <w:lang w:val="cs-CZ" w:eastAsia="cs-CZ"/>
              </w:rPr>
            </w:pPr>
            <w:r>
              <w:rPr>
                <w:b w:val="0"/>
                <w:sz w:val="24"/>
                <w:szCs w:val="24"/>
                <w:lang w:val="cs-CZ" w:eastAsia="cs-CZ"/>
              </w:rPr>
              <w:t>4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BE1EBC" w:rsidRPr="00F87ECE" w:rsidRDefault="00BE1EBC" w:rsidP="0007153C">
            <w:pPr>
              <w:pStyle w:val="A-nadpis"/>
              <w:numPr>
                <w:ilvl w:val="0"/>
                <w:numId w:val="0"/>
              </w:numPr>
              <w:shd w:val="clear" w:color="auto" w:fill="FFFFFF"/>
              <w:rPr>
                <w:b w:val="0"/>
                <w:sz w:val="24"/>
                <w:szCs w:val="24"/>
                <w:lang w:val="cs-CZ" w:eastAsia="cs-CZ"/>
              </w:rPr>
            </w:pPr>
            <w:r>
              <w:rPr>
                <w:b w:val="0"/>
                <w:sz w:val="24"/>
                <w:szCs w:val="24"/>
                <w:lang w:val="cs-CZ" w:eastAsia="cs-CZ"/>
              </w:rPr>
              <w:t>11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BE1EBC" w:rsidRPr="00F87ECE" w:rsidRDefault="00BE1EBC" w:rsidP="0007153C">
            <w:pPr>
              <w:pStyle w:val="A-nadpis"/>
              <w:numPr>
                <w:ilvl w:val="0"/>
                <w:numId w:val="0"/>
              </w:numPr>
              <w:shd w:val="clear" w:color="auto" w:fill="FFFFFF"/>
              <w:rPr>
                <w:b w:val="0"/>
                <w:sz w:val="24"/>
                <w:szCs w:val="24"/>
                <w:lang w:val="cs-CZ" w:eastAsia="cs-CZ"/>
              </w:rPr>
            </w:pPr>
            <w:r>
              <w:rPr>
                <w:b w:val="0"/>
                <w:sz w:val="24"/>
                <w:szCs w:val="24"/>
                <w:lang w:val="cs-CZ" w:eastAsia="cs-CZ"/>
              </w:rPr>
              <w:t>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BE1EBC" w:rsidRPr="00F87ECE" w:rsidRDefault="00BE1EBC" w:rsidP="0007153C">
            <w:pPr>
              <w:pStyle w:val="A-nadpis"/>
              <w:numPr>
                <w:ilvl w:val="0"/>
                <w:numId w:val="0"/>
              </w:numPr>
              <w:shd w:val="clear" w:color="auto" w:fill="FFFFFF"/>
              <w:rPr>
                <w:b w:val="0"/>
                <w:sz w:val="24"/>
                <w:szCs w:val="24"/>
                <w:lang w:val="cs-CZ" w:eastAsia="cs-CZ"/>
              </w:rPr>
            </w:pPr>
            <w:r>
              <w:rPr>
                <w:b w:val="0"/>
                <w:sz w:val="24"/>
                <w:szCs w:val="24"/>
                <w:lang w:val="cs-CZ" w:eastAsia="cs-CZ"/>
              </w:rPr>
              <w:t>2</w:t>
            </w:r>
          </w:p>
        </w:tc>
      </w:tr>
    </w:tbl>
    <w:p w:rsidR="00360F86" w:rsidRDefault="00360F86" w:rsidP="00360F86">
      <w:pPr>
        <w:spacing w:line="360" w:lineRule="auto"/>
        <w:jc w:val="both"/>
      </w:pPr>
    </w:p>
    <w:p w:rsidR="00360F86" w:rsidRPr="00AC1E43" w:rsidRDefault="00360F86" w:rsidP="00360F86">
      <w:pPr>
        <w:spacing w:line="360" w:lineRule="auto"/>
        <w:jc w:val="both"/>
        <w:rPr>
          <w:b/>
        </w:rPr>
      </w:pPr>
      <w:r w:rsidRPr="00AC1E43">
        <w:rPr>
          <w:b/>
        </w:rPr>
        <w:t>Péče o žáky se speciálními vzdělávacími potřebami</w:t>
      </w:r>
    </w:p>
    <w:p w:rsidR="00360F86" w:rsidRDefault="00360F86" w:rsidP="00360F86">
      <w:pPr>
        <w:spacing w:line="360" w:lineRule="auto"/>
        <w:jc w:val="both"/>
      </w:pPr>
      <w:r>
        <w:lastRenderedPageBreak/>
        <w:t>V</w:t>
      </w:r>
      <w:r w:rsidR="00A07EED">
        <w:t> průběhu tohoto školního roku</w:t>
      </w:r>
      <w:r>
        <w:t xml:space="preserve"> bylo </w:t>
      </w:r>
      <w:r w:rsidR="00A07EED">
        <w:t xml:space="preserve">individuálně </w:t>
      </w:r>
      <w:r>
        <w:t>in</w:t>
      </w:r>
      <w:r w:rsidR="00A07EED">
        <w:t>tegrováno v rámci běžné třídy 14</w:t>
      </w:r>
      <w:r>
        <w:t xml:space="preserve"> žáků se speciálními vzdělávacími potřebami na základě doporučení k zařazení žáka se zdravotním postižením do režimu speciálního vzdělávání. </w:t>
      </w:r>
      <w:r w:rsidR="00A52350">
        <w:t xml:space="preserve">Stav na konci školního roku: 11 integrovaných žáků na 1. stupni, 2 integrovaní žáci na 2. stupni. </w:t>
      </w:r>
      <w:r w:rsidR="00233B84">
        <w:t>Pro tyto žáky byl vypracován i</w:t>
      </w:r>
      <w:r>
        <w:t xml:space="preserve">ndividuální vzdělávací plán pro předměty, do nichž se diagnostikovaná porucha promítá dle doporučení PPP. Žáci docházeli na speciálně pedagogickou péči vedenou kvalifikovaným pedagogem. Tento rok probíhala reedukace ve </w:t>
      </w:r>
      <w:r w:rsidR="00A07EED">
        <w:t>čtyřech</w:t>
      </w:r>
      <w:r>
        <w:t xml:space="preserve"> skupinách zaměřených na logopedickou péči a </w:t>
      </w:r>
      <w:r w:rsidR="00A07EED">
        <w:t>reedukaci</w:t>
      </w:r>
      <w:r>
        <w:t xml:space="preserve"> specifických poruch učení.</w:t>
      </w:r>
      <w:r w:rsidR="00A52350">
        <w:t xml:space="preserve"> Děti se specifickými vzdělávacími potřebami či dílčím oslabením, která nevyžadují opatření ve smyslu integrace, byly vzdělávány v souladu s doporučeními PPP. </w:t>
      </w:r>
    </w:p>
    <w:p w:rsidR="00A52350" w:rsidRDefault="00A52350" w:rsidP="00360F86">
      <w:pPr>
        <w:spacing w:line="360" w:lineRule="auto"/>
        <w:jc w:val="both"/>
      </w:pPr>
      <w:r>
        <w:t>Asistentka pedagoga v tomto školním roce pracovala se třemi žáky s narušenou komunikační schopností – vývojovou dysfázií (1., 4. ročník). Pro příští školní rok je sc</w:t>
      </w:r>
      <w:r w:rsidR="00233B84">
        <w:t>hválena asistence pro dva žáky (ADHD, mentální postižení)</w:t>
      </w:r>
      <w:r>
        <w:t>. Další žák s</w:t>
      </w:r>
      <w:r w:rsidR="00233B84">
        <w:t> </w:t>
      </w:r>
      <w:r>
        <w:t>ADHD</w:t>
      </w:r>
      <w:r w:rsidR="00233B84">
        <w:t xml:space="preserve"> a specifickými poruchami učení</w:t>
      </w:r>
      <w:r>
        <w:t xml:space="preserve"> by měl být vzděláván s podpůrným opatřením asistenta pedagoga od listopadu 2015, pokud bude žádost školy </w:t>
      </w:r>
      <w:r w:rsidR="00233B84">
        <w:t xml:space="preserve">v říjnu </w:t>
      </w:r>
      <w:r>
        <w:t xml:space="preserve">schválena. </w:t>
      </w:r>
    </w:p>
    <w:p w:rsidR="00360F86" w:rsidRDefault="00360F86" w:rsidP="00360F86">
      <w:pPr>
        <w:spacing w:line="360" w:lineRule="auto"/>
        <w:jc w:val="both"/>
      </w:pPr>
      <w:r>
        <w:t xml:space="preserve">Škola spolupracuje s pracovníky PPP Kutná Hora a Kolín, většina dětí je klienty těchto dvou pracovišť. </w:t>
      </w:r>
      <w:r w:rsidR="00A07EED">
        <w:t xml:space="preserve">Probíhají metodické návštěvy ve škole, metodická setkání, pomoc pedagogům, supervize, pomoc s tvorbou a kontrola individuálních vzdělávacích plánů ad. </w:t>
      </w:r>
      <w:r>
        <w:t>Spolupráce probíhá i se zapsaným spolkem Ro</w:t>
      </w:r>
      <w:r w:rsidR="00A07EED">
        <w:t xml:space="preserve">zum a Cit se sídlem v Říčanech a Speciálně pedagogickým centrem pro děti se zrakovým </w:t>
      </w:r>
      <w:r w:rsidR="00233B84">
        <w:t>postižením v Praze.</w:t>
      </w:r>
    </w:p>
    <w:p w:rsidR="00233B84" w:rsidRDefault="00A07EED" w:rsidP="00360F86">
      <w:pPr>
        <w:spacing w:line="360" w:lineRule="auto"/>
        <w:jc w:val="both"/>
      </w:pPr>
      <w:r>
        <w:t>I tento rok byla zakoupena odborná literatura týkající se především problematiky narušené komunikační schopnosti u dětí na základní škole, materiály pro práci s dětmi s vadami řeči.</w:t>
      </w:r>
    </w:p>
    <w:p w:rsidR="00360F86" w:rsidRDefault="00233B84" w:rsidP="00360F86">
      <w:pPr>
        <w:spacing w:line="360" w:lineRule="auto"/>
        <w:jc w:val="both"/>
      </w:pPr>
      <w:r>
        <w:t>Pro příští školní rok jsou plánována školení pedagogů zaměřená na konkrétní druhy zdravotního postižení, zdravotní znevýhodnění a sociální znevýhodnění, přístupy, metody práce a hodnocení dětí s tímto postižením. Školení se budou též týkat novely školského zákona (par. 16), katalogů podpůrných opatření, výkladu nové vyhlášky k novele školského zákona ad.</w:t>
      </w:r>
    </w:p>
    <w:p w:rsidR="00360F86" w:rsidRDefault="00360F86" w:rsidP="00360F86">
      <w:pPr>
        <w:jc w:val="both"/>
      </w:pPr>
    </w:p>
    <w:p w:rsidR="00360F86" w:rsidRDefault="00360F86" w:rsidP="00360F86">
      <w:pPr>
        <w:jc w:val="right"/>
      </w:pPr>
      <w:r>
        <w:t xml:space="preserve">Mgr. Jitka Michalicová </w:t>
      </w:r>
    </w:p>
    <w:p w:rsidR="00360F86" w:rsidRDefault="00BE1EBC" w:rsidP="00360F86">
      <w:pPr>
        <w:jc w:val="right"/>
      </w:pPr>
      <w:r>
        <w:t>v</w:t>
      </w:r>
      <w:r w:rsidR="00360F86">
        <w:t>ýchovný poradce</w:t>
      </w:r>
    </w:p>
    <w:p w:rsidR="00360F86" w:rsidRPr="004E1553" w:rsidRDefault="00A07EED" w:rsidP="00360F86">
      <w:pPr>
        <w:jc w:val="right"/>
      </w:pPr>
      <w:r>
        <w:t>Uhlířské Janovice 30. 06. 2015</w:t>
      </w:r>
    </w:p>
    <w:p w:rsidR="00360F86" w:rsidRDefault="00360F86" w:rsidP="00360F86"/>
    <w:p w:rsidR="00BE1EBC" w:rsidRDefault="00BE1EBC" w:rsidP="00360F86"/>
    <w:p w:rsidR="00BE1EBC" w:rsidRPr="004E1553" w:rsidRDefault="00BE1EBC" w:rsidP="00360F86"/>
    <w:p w:rsidR="00360F86" w:rsidRPr="00463BEF" w:rsidRDefault="00360F86" w:rsidP="00360F86">
      <w:pPr>
        <w:jc w:val="both"/>
      </w:pPr>
    </w:p>
    <w:p w:rsidR="00A452D6" w:rsidRDefault="00A452D6"/>
    <w:sectPr w:rsidR="00A452D6" w:rsidSect="002014F9">
      <w:footerReference w:type="default" r:id="rId10"/>
      <w:pgSz w:w="11906" w:h="16838"/>
      <w:pgMar w:top="1417" w:right="70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21E" w:rsidRDefault="008A121E">
      <w:r>
        <w:separator/>
      </w:r>
    </w:p>
  </w:endnote>
  <w:endnote w:type="continuationSeparator" w:id="0">
    <w:p w:rsidR="008A121E" w:rsidRDefault="008A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211192"/>
      <w:docPartObj>
        <w:docPartGallery w:val="Page Numbers (Bottom of Page)"/>
        <w:docPartUnique/>
      </w:docPartObj>
    </w:sdtPr>
    <w:sdtEndPr/>
    <w:sdtContent>
      <w:p w:rsidR="009478A0" w:rsidRDefault="009600C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4F9">
          <w:rPr>
            <w:noProof/>
          </w:rPr>
          <w:t>2</w:t>
        </w:r>
        <w:r>
          <w:fldChar w:fldCharType="end"/>
        </w:r>
      </w:p>
    </w:sdtContent>
  </w:sdt>
  <w:p w:rsidR="009478A0" w:rsidRDefault="002014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21E" w:rsidRDefault="008A121E">
      <w:r>
        <w:separator/>
      </w:r>
    </w:p>
  </w:footnote>
  <w:footnote w:type="continuationSeparator" w:id="0">
    <w:p w:rsidR="008A121E" w:rsidRDefault="008A1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773C2"/>
    <w:multiLevelType w:val="multilevel"/>
    <w:tmpl w:val="6706DBFA"/>
    <w:lvl w:ilvl="0">
      <w:start w:val="1"/>
      <w:numFmt w:val="decimal"/>
      <w:pStyle w:val="A-nadpis"/>
      <w:lvlText w:val="%1."/>
      <w:lvlJc w:val="left"/>
      <w:pPr>
        <w:ind w:left="360" w:hanging="360"/>
      </w:pPr>
    </w:lvl>
    <w:lvl w:ilvl="1">
      <w:start w:val="1"/>
      <w:numFmt w:val="decimal"/>
      <w:pStyle w:val="A-pod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86"/>
    <w:rsid w:val="001C6D2E"/>
    <w:rsid w:val="002014F9"/>
    <w:rsid w:val="00233817"/>
    <w:rsid w:val="00233B84"/>
    <w:rsid w:val="00360F86"/>
    <w:rsid w:val="0059084F"/>
    <w:rsid w:val="008A121E"/>
    <w:rsid w:val="009600C5"/>
    <w:rsid w:val="00A07EED"/>
    <w:rsid w:val="00A452D6"/>
    <w:rsid w:val="00A52350"/>
    <w:rsid w:val="00B809C8"/>
    <w:rsid w:val="00BE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0F86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360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0F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-nadpis">
    <w:name w:val="A-nadpis"/>
    <w:basedOn w:val="Normln"/>
    <w:link w:val="A-nadpisChar"/>
    <w:qFormat/>
    <w:rsid w:val="00360F86"/>
    <w:pPr>
      <w:numPr>
        <w:numId w:val="1"/>
      </w:numPr>
      <w:shd w:val="clear" w:color="auto" w:fill="8DB3E2"/>
      <w:spacing w:line="360" w:lineRule="auto"/>
    </w:pPr>
    <w:rPr>
      <w:b/>
      <w:color w:val="000000"/>
      <w:sz w:val="28"/>
      <w:szCs w:val="28"/>
      <w:lang w:val="x-none" w:eastAsia="x-none"/>
    </w:rPr>
  </w:style>
  <w:style w:type="character" w:customStyle="1" w:styleId="A-nadpisChar">
    <w:name w:val="A-nadpis Char"/>
    <w:link w:val="A-nadpis"/>
    <w:rsid w:val="00360F86"/>
    <w:rPr>
      <w:rFonts w:ascii="Times New Roman" w:eastAsia="Times New Roman" w:hAnsi="Times New Roman" w:cs="Times New Roman"/>
      <w:b/>
      <w:color w:val="000000"/>
      <w:sz w:val="28"/>
      <w:szCs w:val="28"/>
      <w:shd w:val="clear" w:color="auto" w:fill="8DB3E2"/>
      <w:lang w:val="x-none" w:eastAsia="x-none"/>
    </w:rPr>
  </w:style>
  <w:style w:type="paragraph" w:customStyle="1" w:styleId="A-podnadpis2">
    <w:name w:val="A-podnadpis 2"/>
    <w:basedOn w:val="A-nadpis"/>
    <w:qFormat/>
    <w:rsid w:val="00360F86"/>
    <w:pPr>
      <w:numPr>
        <w:ilvl w:val="1"/>
      </w:numPr>
      <w:tabs>
        <w:tab w:val="num" w:pos="360"/>
      </w:tabs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0F86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360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0F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-nadpis">
    <w:name w:val="A-nadpis"/>
    <w:basedOn w:val="Normln"/>
    <w:link w:val="A-nadpisChar"/>
    <w:qFormat/>
    <w:rsid w:val="00360F86"/>
    <w:pPr>
      <w:numPr>
        <w:numId w:val="1"/>
      </w:numPr>
      <w:shd w:val="clear" w:color="auto" w:fill="8DB3E2"/>
      <w:spacing w:line="360" w:lineRule="auto"/>
    </w:pPr>
    <w:rPr>
      <w:b/>
      <w:color w:val="000000"/>
      <w:sz w:val="28"/>
      <w:szCs w:val="28"/>
      <w:lang w:val="x-none" w:eastAsia="x-none"/>
    </w:rPr>
  </w:style>
  <w:style w:type="character" w:customStyle="1" w:styleId="A-nadpisChar">
    <w:name w:val="A-nadpis Char"/>
    <w:link w:val="A-nadpis"/>
    <w:rsid w:val="00360F86"/>
    <w:rPr>
      <w:rFonts w:ascii="Times New Roman" w:eastAsia="Times New Roman" w:hAnsi="Times New Roman" w:cs="Times New Roman"/>
      <w:b/>
      <w:color w:val="000000"/>
      <w:sz w:val="28"/>
      <w:szCs w:val="28"/>
      <w:shd w:val="clear" w:color="auto" w:fill="8DB3E2"/>
      <w:lang w:val="x-none" w:eastAsia="x-none"/>
    </w:rPr>
  </w:style>
  <w:style w:type="paragraph" w:customStyle="1" w:styleId="A-podnadpis2">
    <w:name w:val="A-podnadpis 2"/>
    <w:basedOn w:val="A-nadpis"/>
    <w:qFormat/>
    <w:rsid w:val="00360F86"/>
    <w:pPr>
      <w:numPr>
        <w:ilvl w:val="1"/>
      </w:numPr>
      <w:tabs>
        <w:tab w:val="num" w:pos="360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s@zsuj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Michalicová Jitka</dc:creator>
  <cp:lastModifiedBy>Bohatcová Dana</cp:lastModifiedBy>
  <cp:revision>4</cp:revision>
  <dcterms:created xsi:type="dcterms:W3CDTF">2015-07-14T12:14:00Z</dcterms:created>
  <dcterms:modified xsi:type="dcterms:W3CDTF">2015-08-19T11:18:00Z</dcterms:modified>
</cp:coreProperties>
</file>